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950F4C" w:rsidRDefault="00950F4C" w:rsidP="00950F4C">
      <w:pPr>
        <w:jc w:val="center"/>
        <w:rPr>
          <w:b/>
        </w:rPr>
      </w:pPr>
      <w:r>
        <w:rPr>
          <w:b/>
        </w:rPr>
        <w:t>KLAIPĖDOS LOPŠELIO-DARŽELIO „INKARĖLIS“</w:t>
      </w:r>
    </w:p>
    <w:p w:rsidR="0006079E" w:rsidRDefault="00950F4C" w:rsidP="00950F4C">
      <w:pPr>
        <w:jc w:val="center"/>
        <w:rPr>
          <w:b/>
        </w:rPr>
      </w:pPr>
      <w:r>
        <w:rPr>
          <w:b/>
        </w:rPr>
        <w:t>2021 METŲ VEIKLOS ATASKAITA</w:t>
      </w:r>
    </w:p>
    <w:p w:rsidR="00832CC9" w:rsidRPr="00F72A1E" w:rsidRDefault="00832CC9" w:rsidP="0006079E">
      <w:pPr>
        <w:jc w:val="center"/>
      </w:pPr>
    </w:p>
    <w:p w:rsidR="009B4641" w:rsidRDefault="00950F4C" w:rsidP="009B4641">
      <w:pPr>
        <w:ind w:firstLine="709"/>
        <w:jc w:val="both"/>
        <w:rPr>
          <w:rFonts w:eastAsia="SimSun"/>
          <w:lang w:eastAsia="zh-CN"/>
        </w:rPr>
      </w:pPr>
      <w:r w:rsidRPr="009E1E13">
        <w:t>Klaipėdos lopšelis-darželis</w:t>
      </w:r>
      <w:r>
        <w:t xml:space="preserve"> „Inkarėlis“ (toliau </w:t>
      </w:r>
      <w:r w:rsidRPr="009E1E13">
        <w:t>– Įstaiga) 2021 m. nuosekliai įgyvendina iki</w:t>
      </w:r>
      <w:r>
        <w:t>mokyklinio, priešmokyklinio ir</w:t>
      </w:r>
      <w:r w:rsidRPr="009E1E13">
        <w:t xml:space="preserve"> neformaliojo vaikų švietimo programas. </w:t>
      </w:r>
      <w:r w:rsidRPr="009E1E13">
        <w:rPr>
          <w:rFonts w:eastAsia="SimSun"/>
          <w:lang w:eastAsia="zh-CN"/>
        </w:rPr>
        <w:t>2021-09-01 duomenimis</w:t>
      </w:r>
      <w:r>
        <w:rPr>
          <w:rFonts w:eastAsia="SimSun"/>
          <w:lang w:eastAsia="zh-CN"/>
        </w:rPr>
        <w:t>,</w:t>
      </w:r>
      <w:r w:rsidRPr="009E1E13">
        <w:rPr>
          <w:rFonts w:eastAsia="SimSun"/>
          <w:lang w:eastAsia="zh-CN"/>
        </w:rPr>
        <w:t xml:space="preserve"> Įstaigoje suformuotos 8 ikimokyklinio ir 2 priešmokyklinio ugdymo grupės. Ugdymo paslaugos buvo teikiamos 185 vaikams (2020 m. – 184 vaikams). Pageidaujančių lankyti Įstaigą poreikis tenkintas 100 %. Dirbo 47 darbuotojai (iš viso 45,3 etato, iš jų </w:t>
      </w:r>
      <w:r>
        <w:rPr>
          <w:rFonts w:eastAsia="SimSun"/>
          <w:lang w:eastAsia="zh-CN"/>
        </w:rPr>
        <w:t xml:space="preserve">– </w:t>
      </w:r>
      <w:r w:rsidRPr="009E1E13">
        <w:rPr>
          <w:rFonts w:eastAsia="SimSun"/>
          <w:lang w:eastAsia="zh-CN"/>
        </w:rPr>
        <w:t>22 pedagoginių ir 23,3 nepedagoginių pareigybių).</w:t>
      </w:r>
    </w:p>
    <w:p w:rsidR="009B4641" w:rsidRDefault="00950F4C" w:rsidP="009B4641">
      <w:pPr>
        <w:ind w:firstLine="709"/>
        <w:jc w:val="both"/>
        <w:rPr>
          <w:rFonts w:eastAsia="SimSun"/>
          <w:lang w:eastAsia="zh-CN"/>
        </w:rPr>
      </w:pPr>
      <w:r w:rsidRPr="009E1E13">
        <w:t>2021 metais Įstaigos veikla buvo organizuojama, vadovaujantis 2021–2023 m. strateginiu planu (</w:t>
      </w:r>
      <w:r>
        <w:t xml:space="preserve">toliau – Strateginis planas) ir </w:t>
      </w:r>
      <w:r w:rsidRPr="009E1E13">
        <w:t>2021 m. veiklos p</w:t>
      </w:r>
      <w:r>
        <w:t>lanu (toliau – Veiklos planas). B</w:t>
      </w:r>
      <w:r w:rsidRPr="009E1E13">
        <w:t>endruomenė 2021 m. pasirinko šias prioritetines veiklos kryptis: 1) mokytojų lyderystės skatinimas, siekiant užtikrinti kokybiško ir inovatyvaus ugdymo(si) paslaugos teikimo; 2) garantuoti saugią ir šiuolaikinius ugdymo(si) reik</w:t>
      </w:r>
      <w:r>
        <w:t xml:space="preserve">alavimus atitinkančią aplinką. </w:t>
      </w:r>
      <w:r w:rsidRPr="009E1E13">
        <w:t>Strateginiame ir Veiklos</w:t>
      </w:r>
      <w:r>
        <w:t xml:space="preserve"> planuose buvo iškelti</w:t>
      </w:r>
      <w:r w:rsidRPr="009E1E13">
        <w:t xml:space="preserve"> veiklos tikslai, uždaviniai, numatytos priemonės laukiamam rezultatui pasiekti.</w:t>
      </w:r>
    </w:p>
    <w:p w:rsidR="00950F4C" w:rsidRPr="009B4641" w:rsidRDefault="00950F4C" w:rsidP="009B4641">
      <w:pPr>
        <w:ind w:firstLine="709"/>
        <w:jc w:val="both"/>
        <w:rPr>
          <w:rFonts w:eastAsia="SimSun"/>
          <w:lang w:eastAsia="zh-CN"/>
        </w:rPr>
      </w:pPr>
      <w:r w:rsidRPr="009E1E13">
        <w:t>Siekiant strateginio plano pirmojo tikslo – užtikrinti kokybiško ugdymo proceso organizavimą – atsižvelgiant į įsivertinimo rezutatus, veikla buvo orientuojama į ug</w:t>
      </w:r>
      <w:r>
        <w:t>dymo proceso gerinimą,</w:t>
      </w:r>
      <w:r w:rsidRPr="009E1E13">
        <w:t xml:space="preserve"> galimybių sudarymą kiekvienam vaikui siekti asmeninės pažangos, švietimo pagalbos teikimą, partnerystės ryšių su socaliniais partneriais plėtojimą. Tikslams pasiekti buvo vykdomi trys Veiklos plano uždavin</w:t>
      </w:r>
      <w:r>
        <w:t>i</w:t>
      </w:r>
      <w:r w:rsidRPr="009E1E13">
        <w:t>ai:</w:t>
      </w:r>
    </w:p>
    <w:p w:rsidR="00950F4C" w:rsidRPr="009E1E13" w:rsidRDefault="00950F4C" w:rsidP="009B4641">
      <w:pPr>
        <w:ind w:firstLine="709"/>
        <w:jc w:val="both"/>
      </w:pPr>
      <w:r>
        <w:t>–</w:t>
      </w:r>
      <w:r w:rsidRPr="009E1E13">
        <w:t xml:space="preserve"> įgyvendinant pirmąjį uždavinį – tobulinti ugdymo turinio planavimą</w:t>
      </w:r>
      <w:r>
        <w:t>,</w:t>
      </w:r>
      <w:r w:rsidRPr="009E1E13">
        <w:t xml:space="preserve"> tenkinant skirtingus vaikų ugdymo(si) poreikius – buvo sėkmingai vykdytos priemonės, susijusios su ugdymo turinio planavimo tobulinimu, tėvų</w:t>
      </w:r>
      <w:r>
        <w:t xml:space="preserve"> (globėjų, rūpintojų) (toliau – tėvų)</w:t>
      </w:r>
      <w:r w:rsidRPr="009E1E13">
        <w:t xml:space="preserve"> įtraukimu į ugdymo procesą, vaikų pasiekimų vertinim</w:t>
      </w:r>
      <w:r>
        <w:t>u</w:t>
      </w:r>
      <w:r w:rsidRPr="009E1E13">
        <w:t>, švietimo pagalbos teikim</w:t>
      </w:r>
      <w:r>
        <w:t>u</w:t>
      </w:r>
      <w:r w:rsidRPr="009E1E13">
        <w:t xml:space="preserve">. Vykdytas Įstaigos platusis veiklos vertinimas ir įsivertinimas. Visos 6 sritys įvertintos 3-4 lygiu. Bendras vidurkis </w:t>
      </w:r>
      <w:r>
        <w:t xml:space="preserve">– </w:t>
      </w:r>
      <w:r w:rsidRPr="009E1E13">
        <w:t xml:space="preserve">89,9 % (2020 m. – 86,8 %). Aukščiausiai įvertinti šie veiklos rodikliai: „Vaiko ugdymas ir mokymasis“ </w:t>
      </w:r>
      <w:r>
        <w:t>– 91,5 % (2020 m. – 89,6 %) ir</w:t>
      </w:r>
      <w:r w:rsidRPr="009E1E13">
        <w:t xml:space="preserve"> „Vaiko ugdymo(si) pasiekimai“ </w:t>
      </w:r>
      <w:r>
        <w:t xml:space="preserve">– </w:t>
      </w:r>
      <w:r w:rsidRPr="009E1E13">
        <w:t xml:space="preserve">93,1 % (2020 m. – 91,3 %). </w:t>
      </w:r>
      <w:r w:rsidRPr="009E1E13">
        <w:rPr>
          <w:lang w:eastAsia="lt-LT"/>
        </w:rPr>
        <w:t>Ikimokyklinio amžiaus v</w:t>
      </w:r>
      <w:r>
        <w:rPr>
          <w:lang w:eastAsia="lt-LT"/>
        </w:rPr>
        <w:t>aikų pasiekimų ir pažangos lygį, vaiko raidą atitinka</w:t>
      </w:r>
      <w:r w:rsidRPr="009E1E13">
        <w:rPr>
          <w:lang w:eastAsia="lt-LT"/>
        </w:rPr>
        <w:t xml:space="preserve"> 81 </w:t>
      </w:r>
      <w:r w:rsidRPr="00B828E7">
        <w:rPr>
          <w:lang w:eastAsia="lt-LT"/>
        </w:rPr>
        <w:t>% ugdytinių (2020 m. – 84 %). Aukštesnių pasiekimų yra 13 % vaikų (2020 m. – 9 %). Kai kuriose srityse gebėjimų raida atsilieka 6 % vaikų (2020 m. – 7 %), turinčių specialiųjų ugdymosi</w:t>
      </w:r>
      <w:r>
        <w:rPr>
          <w:lang w:eastAsia="lt-LT"/>
        </w:rPr>
        <w:t xml:space="preserve"> </w:t>
      </w:r>
      <w:r w:rsidRPr="009E1E13">
        <w:rPr>
          <w:lang w:eastAsia="lt-LT"/>
        </w:rPr>
        <w:t>poreikių</w:t>
      </w:r>
      <w:r w:rsidRPr="00D00939">
        <w:rPr>
          <w:lang w:eastAsia="lt-LT"/>
        </w:rPr>
        <w:t>,</w:t>
      </w:r>
      <w:r w:rsidRPr="009E1E13">
        <w:rPr>
          <w:lang w:eastAsia="lt-LT"/>
        </w:rPr>
        <w:t xml:space="preserve"> kalbos sutrikimo, savęs suvokimo srityje. Priešmokyklinio amžiaus vaikų pa</w:t>
      </w:r>
      <w:r>
        <w:rPr>
          <w:lang w:eastAsia="lt-LT"/>
        </w:rPr>
        <w:t xml:space="preserve">siekimų pažanga yra 100 % – 75 </w:t>
      </w:r>
      <w:r w:rsidRPr="009E1E13">
        <w:rPr>
          <w:lang w:eastAsia="lt-LT"/>
        </w:rPr>
        <w:t>% atitinka savo amžių (2020 m. – 82 %), 25 % vaikų gebėjimai aukštesni nei jų amžiaus tarpsnio</w:t>
      </w:r>
      <w:r>
        <w:rPr>
          <w:lang w:eastAsia="lt-LT"/>
        </w:rPr>
        <w:t xml:space="preserve"> </w:t>
      </w:r>
      <w:r w:rsidRPr="009E1E13">
        <w:rPr>
          <w:lang w:eastAsia="lt-LT"/>
        </w:rPr>
        <w:t>(2020 m. – 18</w:t>
      </w:r>
      <w:r>
        <w:rPr>
          <w:lang w:eastAsia="lt-LT"/>
        </w:rPr>
        <w:t xml:space="preserve"> </w:t>
      </w:r>
      <w:r w:rsidRPr="009E1E13">
        <w:rPr>
          <w:lang w:eastAsia="lt-LT"/>
        </w:rPr>
        <w:t>%)</w:t>
      </w:r>
      <w:r w:rsidRPr="009E1E13">
        <w:t xml:space="preserve">. </w:t>
      </w:r>
      <w:r w:rsidRPr="004655C5">
        <w:t>Vaikai ir mokytojai yra aktyvūs projektų, akcijų, konkursų, kūrybinių darbų konkursų-parodų dalyviai.</w:t>
      </w:r>
      <w:r w:rsidRPr="009E1E13">
        <w:t xml:space="preserve"> </w:t>
      </w:r>
      <w:r>
        <w:t xml:space="preserve">Reikšmingi </w:t>
      </w:r>
      <w:r w:rsidRPr="009E1E13">
        <w:t>buvo ugdytinių pasiekimai: 2021 m. dalyvauta 19 tarptautinių renginių (2020 m. – 10), 105 šalies (2020 m. – 34), 11 miesto (2020 m. – 8). Gauta 501 padėka (2020 m. – 479). Vykdytos 4 neform</w:t>
      </w:r>
      <w:r>
        <w:t>aliojo vaikų švietimo programos. Įstaigos duomenimis,</w:t>
      </w:r>
      <w:r w:rsidRPr="009E1E13">
        <w:t xml:space="preserve"> po 2 programas lanko </w:t>
      </w:r>
      <w:r>
        <w:t>visi vaikai 100 %</w:t>
      </w:r>
      <w:r w:rsidRPr="009E1E13">
        <w:t xml:space="preserve"> (2020 m. – 80 %), po 3 programas – 30 % (2020 m. – 20 %).</w:t>
      </w:r>
      <w:r w:rsidRPr="009E1E13">
        <w:rPr>
          <w:rFonts w:eastAsia="SimSun"/>
          <w:lang w:eastAsia="zh-CN"/>
        </w:rPr>
        <w:t xml:space="preserve"> </w:t>
      </w:r>
      <w:r w:rsidRPr="00FE0756">
        <w:rPr>
          <w:rFonts w:eastAsia="SimSun"/>
          <w:lang w:eastAsia="zh-CN"/>
        </w:rPr>
        <w:t xml:space="preserve">Dalyvavimas renginiuose stiprino vaikų ir mokytojų motyvaciją ugdymo(si) procese, suteikė ugdytiniams daugiau galimybių patirti realų gyvenimą, pritaikyti įgytas žinias ir gebėjimus praktikoje, eksperimentuoti, patirti atradimų ir kūrybos džiaugsmą. Mokytojai įgijo patirties rengiant ir įgyvendinant projektus. </w:t>
      </w:r>
      <w:r>
        <w:rPr>
          <w:rFonts w:eastAsia="SimSun"/>
          <w:lang w:eastAsia="zh-CN"/>
        </w:rPr>
        <w:t>L</w:t>
      </w:r>
      <w:r w:rsidRPr="009E1E13">
        <w:rPr>
          <w:rFonts w:eastAsia="SimSun"/>
          <w:lang w:eastAsia="zh-CN"/>
        </w:rPr>
        <w:t>ogopedo paslauga (1,0 etat</w:t>
      </w:r>
      <w:r>
        <w:rPr>
          <w:rFonts w:eastAsia="SimSun"/>
          <w:lang w:eastAsia="zh-CN"/>
        </w:rPr>
        <w:t>as</w:t>
      </w:r>
      <w:r w:rsidRPr="009E1E13">
        <w:rPr>
          <w:rFonts w:eastAsia="SimSun"/>
          <w:lang w:eastAsia="zh-CN"/>
        </w:rPr>
        <w:t>)</w:t>
      </w:r>
      <w:r>
        <w:rPr>
          <w:rFonts w:eastAsia="SimSun"/>
          <w:lang w:eastAsia="zh-CN"/>
        </w:rPr>
        <w:t>,</w:t>
      </w:r>
      <w:r w:rsidRPr="009E1E13">
        <w:rPr>
          <w:rFonts w:eastAsia="SimSun"/>
          <w:lang w:eastAsia="zh-CN"/>
        </w:rPr>
        <w:t xml:space="preserve"> įveikiant kalbos ir kalbėjimo sutrikimus, teikta </w:t>
      </w:r>
      <w:r w:rsidRPr="009E1E13">
        <w:rPr>
          <w:lang w:eastAsia="lt-LT"/>
        </w:rPr>
        <w:t>64 vaikams (2020 m. – 59). 2021 m. pagalba teikta 13 specialiųjų ugdymosi po</w:t>
      </w:r>
      <w:r>
        <w:rPr>
          <w:lang w:eastAsia="lt-LT"/>
        </w:rPr>
        <w:t xml:space="preserve">reikių </w:t>
      </w:r>
      <w:r w:rsidRPr="009E1E13">
        <w:rPr>
          <w:lang w:eastAsia="lt-LT"/>
        </w:rPr>
        <w:t>turinčių</w:t>
      </w:r>
      <w:r>
        <w:rPr>
          <w:lang w:eastAsia="lt-LT"/>
        </w:rPr>
        <w:t xml:space="preserve"> vaikų, 7 iš jų nustatyti</w:t>
      </w:r>
      <w:r w:rsidRPr="009E1E13">
        <w:rPr>
          <w:lang w:eastAsia="lt-LT"/>
        </w:rPr>
        <w:t xml:space="preserve"> dideli sutrikimai (2020 m. – 1), 6 </w:t>
      </w:r>
      <w:r>
        <w:rPr>
          <w:lang w:eastAsia="lt-LT"/>
        </w:rPr>
        <w:t xml:space="preserve">– </w:t>
      </w:r>
      <w:r w:rsidRPr="009E1E13">
        <w:rPr>
          <w:lang w:eastAsia="lt-LT"/>
        </w:rPr>
        <w:t xml:space="preserve">vidutiniai sutrikimai. Parengta ir pritaikyta 10 bendrosios kalbos ugdymo programų (2020 m. – 3). </w:t>
      </w:r>
      <w:r w:rsidRPr="009E1E13">
        <w:t>Vaikai maitinami 3 kartus per dieną kokybišku maistu. 3 alergiškiems vaikams (2020 m. – 0) ruošiami dietiniai patiekalai pagal pritaikytus valgiaraščius. 50 % maitinimo paslaugos mokesčio lengvata buvo taikyta 25 šeimoms (2020 m. – 19).</w:t>
      </w:r>
    </w:p>
    <w:p w:rsidR="00950F4C" w:rsidRPr="009E1E13" w:rsidRDefault="00950F4C" w:rsidP="009B4641">
      <w:pPr>
        <w:ind w:firstLine="709"/>
        <w:jc w:val="both"/>
      </w:pPr>
      <w:r>
        <w:lastRenderedPageBreak/>
        <w:t>–</w:t>
      </w:r>
      <w:r w:rsidRPr="009E1E13">
        <w:t xml:space="preserve"> įgyvendinant antrąjį uždavinį – integruoti inovatyvius ugdymo būdus, gerinant įstaigos įvaizdį – buvo tikslingai vykdomas darbuotojų profesinis tobulėjimas. Visi 22 pedagogai 100 % (vidutiniškai 16 dienų) tobulino kompetencijas</w:t>
      </w:r>
      <w:r>
        <w:t xml:space="preserve"> patyriminio ugdymo veiklų organizavimo, informacinių komunikacijų</w:t>
      </w:r>
      <w:r w:rsidRPr="009E1E13">
        <w:t xml:space="preserve"> </w:t>
      </w:r>
      <w:r>
        <w:t xml:space="preserve">technologijų (toliau – </w:t>
      </w:r>
      <w:r w:rsidRPr="00D00939">
        <w:t>IKT</w:t>
      </w:r>
      <w:r>
        <w:t>) taikymo, vaikų pasiekimų vertinimo, vaikų, turinčių raidos sutrikimų, integracijos gerinimo ir kt. srityse</w:t>
      </w:r>
      <w:r w:rsidRPr="009E1E13">
        <w:t xml:space="preserve"> (11 dienų daugiau nei planuota). </w:t>
      </w:r>
      <w:r w:rsidRPr="009E1E13">
        <w:rPr>
          <w:rFonts w:eastAsia="Calibri"/>
        </w:rPr>
        <w:t>80 % pedagogų (2020 m. – 30 %) pradėjo naudoti ugdymo procese interaktyvias ugdymo(si) programas: „Padlet“, „Canva“, „Wordwall“, „Bookcreator“, „Power Point“. Atsižvelgiant į vaikų amžiaus tarpsnio ypatumus, 50 % (2020 m. – 20 %) ugdymo proces</w:t>
      </w:r>
      <w:r w:rsidRPr="00C81C83">
        <w:rPr>
          <w:rFonts w:eastAsia="Calibri"/>
        </w:rPr>
        <w:t xml:space="preserve">o laiko </w:t>
      </w:r>
      <w:r w:rsidRPr="009E1E13">
        <w:rPr>
          <w:rFonts w:eastAsia="Calibri"/>
        </w:rPr>
        <w:t xml:space="preserve">naudojamos </w:t>
      </w:r>
      <w:r>
        <w:rPr>
          <w:rFonts w:eastAsia="Calibri"/>
        </w:rPr>
        <w:t xml:space="preserve">IKT </w:t>
      </w:r>
      <w:r w:rsidRPr="009E1E13">
        <w:rPr>
          <w:rFonts w:eastAsia="Calibri"/>
        </w:rPr>
        <w:t xml:space="preserve">ir išmaniosios priemonės (interaktyvi lenta, išmaniosios grindys, planšetiniai kompiuteriai, robotai-bitutės ir kt.). 2021 m. įsigytos „Ikimo.lt“ ir „Kiškio obuoliukai“ prenumeratos motyvavo didesnį vaikų įsitraukimą į ugdymo(si) procesą. </w:t>
      </w:r>
      <w:r w:rsidRPr="009E1E13">
        <w:t xml:space="preserve">Tęsiamas gamtos mokslų, technologijų, inžinerijos, matematikos </w:t>
      </w:r>
      <w:r>
        <w:t>ir menų srities (toliau – STEAM)</w:t>
      </w:r>
      <w:r w:rsidRPr="009E1E13">
        <w:t xml:space="preserve"> elementų integravimas į ugdymo procesą. Socialinių-emocinių įgūdžių lavinimui 4 grupėse vykdyta programa „Kimochis” (2020 m. – 2 grup</w:t>
      </w:r>
      <w:r>
        <w:t xml:space="preserve">ėse). Perimamos naujos ugdymo koncepcijos, naudojamos modernios priemonės, taikomi inovatyvūs būdai praturtino ugdymo procesą, pagerėjo vaikų pasiekimai, labiau atsiskleidė gabumai, talentai, vaikai tapo savarankiškesni, įgijo lyderystės gebėjimų. Pedagogų inovatyškumas ir kūrybiškumas, IKT priemonių įvaldymas bei gebėjimas dirbti komandoje, pakeitė bendravimą su šiuolaikiniais tėvais, padėjo geriau atliepti šeimų lūkesčius ugdymo procese. </w:t>
      </w:r>
      <w:r w:rsidRPr="009E1E13">
        <w:t>2021 m. sukurti 22 va</w:t>
      </w:r>
      <w:r>
        <w:t>izdo filmukai (2020 m. –</w:t>
      </w:r>
      <w:r w:rsidRPr="009E1E13">
        <w:t xml:space="preserve"> 8)</w:t>
      </w:r>
      <w:r>
        <w:t>,</w:t>
      </w:r>
      <w:r w:rsidRPr="009E1E13">
        <w:t xml:space="preserve"> reprezentuojantys Įstaigos veiklą, 2 informacinės-pažintinės tinklalaidės</w:t>
      </w:r>
      <w:r>
        <w:t xml:space="preserve"> „Teatro pievelė”, 5 vaikų vaizdiniai</w:t>
      </w:r>
      <w:r w:rsidRPr="009E1E13">
        <w:t xml:space="preserve"> sveikinimai tėv</w:t>
      </w:r>
      <w:r>
        <w:t>ams ir darbuotojams (2020 m. – 1) patalpinti Įstaigos „Y</w:t>
      </w:r>
      <w:r w:rsidRPr="009E1E13">
        <w:t>outube</w:t>
      </w:r>
      <w:r>
        <w:t>“</w:t>
      </w:r>
      <w:r w:rsidRPr="009E1E13">
        <w:t xml:space="preserve">, </w:t>
      </w:r>
      <w:r>
        <w:t>„F</w:t>
      </w:r>
      <w:r w:rsidRPr="009E1E13">
        <w:t>acebook</w:t>
      </w:r>
      <w:r>
        <w:t>“</w:t>
      </w:r>
      <w:r w:rsidRPr="009E1E13">
        <w:t xml:space="preserve"> platformose</w:t>
      </w:r>
      <w:r>
        <w:t xml:space="preserve"> ir</w:t>
      </w:r>
      <w:r w:rsidRPr="009E1E13">
        <w:t xml:space="preserve"> Įs</w:t>
      </w:r>
      <w:r>
        <w:t xml:space="preserve">taigos internetinėje svetainėje. Ši vaizdo medžiaga formuoja patrauklų Įstaigos įvaizdį, atskleidžia jos savitumą ir patirčių sklaidą. </w:t>
      </w:r>
    </w:p>
    <w:p w:rsidR="00950F4C" w:rsidRPr="00D35922" w:rsidRDefault="00950F4C" w:rsidP="009B4641">
      <w:pPr>
        <w:ind w:firstLine="709"/>
        <w:jc w:val="both"/>
        <w:rPr>
          <w:rFonts w:eastAsia="Calibri"/>
          <w:strike/>
        </w:rPr>
      </w:pPr>
      <w:r>
        <w:t>–</w:t>
      </w:r>
      <w:r w:rsidRPr="009E1E13">
        <w:t xml:space="preserve"> įgyvendinant trečiąjį uždavinį – siekti kolegialaus bendruomenės narių bendradarbiavimo bei plėtoti partnerystės ryšius</w:t>
      </w:r>
      <w:r>
        <w:t xml:space="preserve"> su socialiniais partneriais –</w:t>
      </w:r>
      <w:r w:rsidRPr="009E1E13">
        <w:t xml:space="preserve"> </w:t>
      </w:r>
      <w:r w:rsidRPr="009E1E13">
        <w:rPr>
          <w:rFonts w:eastAsia="Calibri"/>
        </w:rPr>
        <w:t>tęstas bendradarbiavimas su 17 socialinių partnerių, pasirašytos 4 naujos sut</w:t>
      </w:r>
      <w:r>
        <w:rPr>
          <w:rFonts w:eastAsia="Calibri"/>
        </w:rPr>
        <w:t>artys. Organizuotos nuotoliniu būdu 3 metodinės-</w:t>
      </w:r>
      <w:r w:rsidRPr="009E1E13">
        <w:rPr>
          <w:rFonts w:eastAsia="Calibri"/>
        </w:rPr>
        <w:t xml:space="preserve">praktinės dienos (2020 m. – 1), 23 bendri renginiai (2020 m. – 11): 8 projektai, 7 akcijos, 8 kūrybinių darbų </w:t>
      </w:r>
      <w:r>
        <w:rPr>
          <w:rFonts w:eastAsia="Calibri"/>
        </w:rPr>
        <w:t>konkursai</w:t>
      </w:r>
      <w:r w:rsidRPr="009E1E13">
        <w:rPr>
          <w:rFonts w:eastAsia="Calibri"/>
        </w:rPr>
        <w:t>-parodos. Keistasi informacija, vykdyta gerosios patirties sklaida šalies, miesto kolegoms: skaityti 24</w:t>
      </w:r>
      <w:r>
        <w:rPr>
          <w:rFonts w:eastAsia="Calibri"/>
        </w:rPr>
        <w:t xml:space="preserve"> vaizdiniai</w:t>
      </w:r>
      <w:r w:rsidRPr="009E1E13">
        <w:rPr>
          <w:rFonts w:eastAsia="Calibri"/>
        </w:rPr>
        <w:t xml:space="preserve"> pranešimai</w:t>
      </w:r>
      <w:r>
        <w:rPr>
          <w:rFonts w:eastAsia="Calibri"/>
        </w:rPr>
        <w:t xml:space="preserve"> (2020 m. – 10), vestos 6 vaizdinės</w:t>
      </w:r>
      <w:r w:rsidRPr="009E1E13">
        <w:rPr>
          <w:rFonts w:eastAsia="Calibri"/>
        </w:rPr>
        <w:t xml:space="preserve"> veiklos (2020 m. – 3). Nuo 2019-09-01 įv</w:t>
      </w:r>
      <w:r>
        <w:rPr>
          <w:rFonts w:eastAsia="Calibri"/>
        </w:rPr>
        <w:t>esta tėvų informavimo sistema elektroniniame</w:t>
      </w:r>
      <w:r w:rsidRPr="009E1E13">
        <w:rPr>
          <w:rFonts w:eastAsia="Calibri"/>
        </w:rPr>
        <w:t xml:space="preserve"> dienyne „Mūsų darželi</w:t>
      </w:r>
      <w:r>
        <w:rPr>
          <w:rFonts w:eastAsia="Calibri"/>
        </w:rPr>
        <w:t>s“. 100 % tėvų yra prisijungę</w:t>
      </w:r>
      <w:r w:rsidRPr="009E1E13">
        <w:rPr>
          <w:rFonts w:eastAsia="Calibri"/>
        </w:rPr>
        <w:t xml:space="preserve"> prie elektroninio dienyno </w:t>
      </w:r>
      <w:r>
        <w:rPr>
          <w:rFonts w:eastAsia="Calibri"/>
        </w:rPr>
        <w:t xml:space="preserve">(toliau – el. dienynas) </w:t>
      </w:r>
      <w:r w:rsidRPr="009E1E13">
        <w:rPr>
          <w:rFonts w:eastAsia="Calibri"/>
        </w:rPr>
        <w:t xml:space="preserve">,,Mūsų darželis“ ir galėjo naudotis visais „Tėvų meniu“ punktais, turėjo galimybę susipažinti su </w:t>
      </w:r>
      <w:r>
        <w:rPr>
          <w:rFonts w:eastAsia="Calibri"/>
        </w:rPr>
        <w:t xml:space="preserve">ugdymo </w:t>
      </w:r>
      <w:r w:rsidRPr="009E1E13">
        <w:rPr>
          <w:rFonts w:eastAsia="Calibri"/>
        </w:rPr>
        <w:t>planais, vaikų pasiekimais ir pažanga, teikti grįžtamąjį ryšį. Efektyviai veikia tėvų informavimo sistema</w:t>
      </w:r>
      <w:r>
        <w:rPr>
          <w:rFonts w:eastAsia="Calibri"/>
        </w:rPr>
        <w:t>:</w:t>
      </w:r>
      <w:r w:rsidRPr="009E1E13">
        <w:rPr>
          <w:rFonts w:eastAsia="Calibri"/>
        </w:rPr>
        <w:t xml:space="preserve"> 2021 m. 80 %</w:t>
      </w:r>
      <w:r>
        <w:rPr>
          <w:rFonts w:eastAsia="Calibri"/>
        </w:rPr>
        <w:t xml:space="preserve"> tėvų</w:t>
      </w:r>
      <w:r w:rsidRPr="009E1E13">
        <w:rPr>
          <w:rFonts w:eastAsia="Calibri"/>
        </w:rPr>
        <w:t xml:space="preserve"> (2020 </w:t>
      </w:r>
      <w:r>
        <w:rPr>
          <w:rFonts w:eastAsia="Calibri"/>
        </w:rPr>
        <w:t>m. – 60 %) aktyviai naudojosi el.</w:t>
      </w:r>
      <w:r w:rsidRPr="009E1E13">
        <w:rPr>
          <w:rFonts w:eastAsia="Calibri"/>
        </w:rPr>
        <w:t xml:space="preserve"> dienynu ,,Mūsų darželis“, 20 </w:t>
      </w:r>
      <w:r w:rsidRPr="009E1E13">
        <w:rPr>
          <w:color w:val="000000"/>
        </w:rPr>
        <w:t>% tėvų</w:t>
      </w:r>
      <w:r>
        <w:rPr>
          <w:color w:val="000000"/>
        </w:rPr>
        <w:t xml:space="preserve"> </w:t>
      </w:r>
      <w:r w:rsidRPr="009E1E13">
        <w:rPr>
          <w:color w:val="000000"/>
        </w:rPr>
        <w:t xml:space="preserve">(2020 m. – 40 </w:t>
      </w:r>
      <w:r>
        <w:rPr>
          <w:rFonts w:eastAsia="Calibri"/>
        </w:rPr>
        <w:t xml:space="preserve">%) – </w:t>
      </w:r>
      <w:r>
        <w:rPr>
          <w:color w:val="000000"/>
        </w:rPr>
        <w:t>tik pagal poreikį.</w:t>
      </w:r>
    </w:p>
    <w:p w:rsidR="00950F4C" w:rsidRDefault="00950F4C" w:rsidP="009B4641">
      <w:pPr>
        <w:ind w:firstLine="709"/>
        <w:jc w:val="both"/>
        <w:rPr>
          <w:rFonts w:eastAsia="Calibri"/>
          <w:lang w:eastAsia="lt-LT"/>
        </w:rPr>
      </w:pPr>
      <w:r w:rsidRPr="009E1E13">
        <w:rPr>
          <w:rFonts w:eastAsia="Calibri"/>
        </w:rPr>
        <w:t>Siekiant Strateginio plano antrojo tikslo – užtikrinti sveiką, saugią ir šiuolaikinius ugdymo(si) reikalavimus atliepiančią aplinką – buvo vykdomi du Strateginio plano uždaviniai – gerinti Įstaigos ugdymo sąlygas ir aplinką bei pritaikyti Įstaigos aplinkas švietimo reikmėms. Įgyvendinant šiuos uždavinius</w:t>
      </w:r>
      <w:r>
        <w:rPr>
          <w:rFonts w:eastAsia="Calibri"/>
        </w:rPr>
        <w:t>,</w:t>
      </w:r>
      <w:r w:rsidRPr="009E1E13">
        <w:rPr>
          <w:rFonts w:eastAsia="Calibri"/>
        </w:rPr>
        <w:t xml:space="preserve"> veikla buvo orientuojama į patalpų būklės atnaujinimą, aplinkų kūrimą, šiuolaikinių priemonių įsigijimą. </w:t>
      </w:r>
      <w:r w:rsidRPr="009E1E13">
        <w:rPr>
          <w:rFonts w:eastAsia="SimSun"/>
          <w:lang w:eastAsia="zh-CN"/>
        </w:rPr>
        <w:t>2021 m. atlikti elektros instaliacijos remonto darbai (19,6 tūkst. Eur), atliktas stogo remontas, įrengtas lietaus nuotekų vamzdynas (42,9 tūkst. Eur), pakeista 100 kv. m grindų dangos, atlikti 2 grupių, 1 kabineto, sporto salės, 2 laiptinių daliniai remontai (2,0 tūkst. Eur), įsigyta virtuvės įrangos (3,5 tūkst. Eur), baldų (0,8 tūkst. Eur), minkšto inventoriaus (0,6 tūkst. Eur), higienos priemonių (2,3 tūkst. Eur), 290 vnt</w:t>
      </w:r>
      <w:r>
        <w:rPr>
          <w:rFonts w:eastAsia="SimSun"/>
          <w:lang w:eastAsia="zh-CN"/>
        </w:rPr>
        <w:t>. ugdymo, sporto</w:t>
      </w:r>
      <w:r w:rsidRPr="009E1E13">
        <w:rPr>
          <w:rFonts w:eastAsia="SimSun"/>
          <w:lang w:eastAsia="zh-CN"/>
        </w:rPr>
        <w:t xml:space="preserve"> priemonių (7,0 tūkst. Eur), tvarkyta lauko aplink</w:t>
      </w:r>
      <w:r>
        <w:rPr>
          <w:rFonts w:eastAsia="SimSun"/>
          <w:lang w:eastAsia="zh-CN"/>
        </w:rPr>
        <w:t>a, siekiant erdves pritaikyti pa</w:t>
      </w:r>
      <w:r w:rsidRPr="009E1E13">
        <w:rPr>
          <w:rFonts w:eastAsia="SimSun"/>
          <w:lang w:eastAsia="zh-CN"/>
        </w:rPr>
        <w:t>tyriminiam ugdymui. Vykdyti 6 viešieji pirkimai 84 vnt</w:t>
      </w:r>
      <w:r>
        <w:rPr>
          <w:rFonts w:eastAsia="SimSun"/>
          <w:lang w:eastAsia="zh-CN"/>
        </w:rPr>
        <w:t>.</w:t>
      </w:r>
      <w:r w:rsidRPr="009E1E13">
        <w:rPr>
          <w:rFonts w:eastAsia="SimSun"/>
          <w:lang w:eastAsia="zh-CN"/>
        </w:rPr>
        <w:t xml:space="preserve"> prekių įsigijimui (56,25 tūkst. Eur).Turimi ištekliai naudoti </w:t>
      </w:r>
      <w:r w:rsidRPr="009E1E13">
        <w:rPr>
          <w:rFonts w:eastAsia="Calibri"/>
          <w:lang w:eastAsia="lt-LT"/>
        </w:rPr>
        <w:t>racionaliai, taupiai ir tikslingai pagal paskirtį.</w:t>
      </w:r>
      <w:r w:rsidRPr="009E1E13">
        <w:rPr>
          <w:rFonts w:eastAsia="SimSun"/>
          <w:color w:val="FF0000"/>
          <w:lang w:eastAsia="zh-CN"/>
        </w:rPr>
        <w:t xml:space="preserve"> </w:t>
      </w:r>
      <w:r w:rsidRPr="009E1E13">
        <w:rPr>
          <w:rFonts w:eastAsia="Calibri"/>
          <w:lang w:eastAsia="lt-LT"/>
        </w:rPr>
        <w:t>Sprendimai dėl jų panaudojimo derinti su savivaldos institucijomis, atsiskaityta bendruomenei, rėmėjams.</w:t>
      </w:r>
    </w:p>
    <w:p w:rsidR="009B4641" w:rsidRDefault="009B4641" w:rsidP="00950F4C">
      <w:pPr>
        <w:jc w:val="both"/>
        <w:rPr>
          <w:rFonts w:eastAsia="Calibri"/>
          <w:lang w:eastAsia="lt-LT"/>
        </w:rPr>
      </w:pPr>
    </w:p>
    <w:p w:rsidR="009B4641" w:rsidRDefault="009B4641" w:rsidP="00950F4C">
      <w:pPr>
        <w:jc w:val="both"/>
        <w:rPr>
          <w:rFonts w:eastAsia="Calibri"/>
          <w:lang w:eastAsia="lt-LT"/>
        </w:rPr>
      </w:pPr>
    </w:p>
    <w:p w:rsidR="009B4641" w:rsidRDefault="009B4641" w:rsidP="00950F4C">
      <w:pPr>
        <w:jc w:val="both"/>
        <w:rPr>
          <w:rFonts w:eastAsia="Calibri"/>
          <w:lang w:eastAsia="lt-LT"/>
        </w:rPr>
      </w:pPr>
    </w:p>
    <w:p w:rsidR="009B4641" w:rsidRDefault="009B4641" w:rsidP="00950F4C">
      <w:pPr>
        <w:jc w:val="both"/>
        <w:rPr>
          <w:rFonts w:eastAsia="Calibri"/>
          <w:lang w:eastAsia="lt-LT"/>
        </w:rPr>
      </w:pPr>
    </w:p>
    <w:p w:rsidR="009B4641" w:rsidRDefault="009B4641" w:rsidP="00950F4C">
      <w:pPr>
        <w:jc w:val="both"/>
        <w:rPr>
          <w:rFonts w:eastAsia="Calibri"/>
          <w:lang w:eastAsia="lt-LT"/>
        </w:rPr>
      </w:pPr>
    </w:p>
    <w:p w:rsidR="00950F4C" w:rsidRPr="009E1E13" w:rsidRDefault="00950F4C" w:rsidP="009B4641">
      <w:pPr>
        <w:ind w:firstLine="709"/>
        <w:jc w:val="both"/>
        <w:rPr>
          <w:rFonts w:eastAsia="Calibri"/>
          <w:lang w:eastAsia="lt-LT"/>
        </w:rPr>
      </w:pPr>
      <w:r w:rsidRPr="009E1E13">
        <w:rPr>
          <w:rFonts w:eastAsia="Calibri"/>
          <w:lang w:eastAsia="lt-LT"/>
        </w:rPr>
        <w:lastRenderedPageBreak/>
        <w:t>2021 m. Įstaigos finansinė situacija:</w:t>
      </w:r>
    </w:p>
    <w:tbl>
      <w:tblPr>
        <w:tblStyle w:val="Lentelstinklelis"/>
        <w:tblW w:w="0" w:type="auto"/>
        <w:tblInd w:w="27" w:type="dxa"/>
        <w:tblLook w:val="04A0" w:firstRow="1" w:lastRow="0" w:firstColumn="1" w:lastColumn="0" w:noHBand="0" w:noVBand="1"/>
      </w:tblPr>
      <w:tblGrid>
        <w:gridCol w:w="2301"/>
        <w:gridCol w:w="1470"/>
        <w:gridCol w:w="1216"/>
        <w:gridCol w:w="1283"/>
        <w:gridCol w:w="3439"/>
      </w:tblGrid>
      <w:tr w:rsidR="00950F4C" w:rsidRPr="009E1E13" w:rsidTr="00166F1A">
        <w:tc>
          <w:tcPr>
            <w:tcW w:w="2301" w:type="dxa"/>
            <w:vMerge w:val="restart"/>
            <w:tcBorders>
              <w:top w:val="single" w:sz="4" w:space="0" w:color="auto"/>
              <w:left w:val="single" w:sz="4" w:space="0" w:color="auto"/>
              <w:bottom w:val="single" w:sz="4" w:space="0" w:color="auto"/>
              <w:right w:val="single" w:sz="4" w:space="0" w:color="auto"/>
            </w:tcBorders>
            <w:hideMark/>
          </w:tcPr>
          <w:p w:rsidR="00950F4C" w:rsidRPr="009E1E13" w:rsidRDefault="00950F4C" w:rsidP="00166F1A">
            <w:r w:rsidRPr="009E1E13">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rsidR="00950F4C" w:rsidRPr="009E1E13" w:rsidRDefault="00950F4C" w:rsidP="00166F1A">
            <w:r w:rsidRPr="009E1E13">
              <w:t>Lėšos (tūkst. eurų)</w:t>
            </w:r>
          </w:p>
        </w:tc>
        <w:tc>
          <w:tcPr>
            <w:tcW w:w="3439" w:type="dxa"/>
            <w:vMerge w:val="restart"/>
            <w:tcBorders>
              <w:top w:val="single" w:sz="4" w:space="0" w:color="auto"/>
              <w:left w:val="single" w:sz="4" w:space="0" w:color="auto"/>
              <w:right w:val="single" w:sz="4" w:space="0" w:color="auto"/>
            </w:tcBorders>
          </w:tcPr>
          <w:p w:rsidR="00950F4C" w:rsidRPr="009E1E13" w:rsidRDefault="00950F4C" w:rsidP="00166F1A">
            <w:r w:rsidRPr="009E1E13">
              <w:t>Pastabos</w:t>
            </w:r>
          </w:p>
          <w:p w:rsidR="00950F4C" w:rsidRPr="009E1E13" w:rsidRDefault="00950F4C" w:rsidP="00166F1A"/>
        </w:tc>
      </w:tr>
      <w:tr w:rsidR="00950F4C" w:rsidRPr="009E1E13" w:rsidTr="00166F1A">
        <w:tc>
          <w:tcPr>
            <w:tcW w:w="2301" w:type="dxa"/>
            <w:vMerge/>
            <w:tcBorders>
              <w:top w:val="single" w:sz="4" w:space="0" w:color="auto"/>
              <w:left w:val="single" w:sz="4" w:space="0" w:color="auto"/>
              <w:bottom w:val="single" w:sz="4" w:space="0" w:color="auto"/>
              <w:right w:val="single" w:sz="4" w:space="0" w:color="auto"/>
            </w:tcBorders>
            <w:vAlign w:val="center"/>
            <w:hideMark/>
          </w:tcPr>
          <w:p w:rsidR="00950F4C" w:rsidRPr="009E1E13" w:rsidRDefault="00950F4C" w:rsidP="00166F1A"/>
        </w:tc>
        <w:tc>
          <w:tcPr>
            <w:tcW w:w="1470" w:type="dxa"/>
            <w:tcBorders>
              <w:top w:val="single" w:sz="4" w:space="0" w:color="auto"/>
              <w:left w:val="single" w:sz="4" w:space="0" w:color="auto"/>
              <w:bottom w:val="single" w:sz="4" w:space="0" w:color="auto"/>
              <w:right w:val="single" w:sz="4" w:space="0" w:color="auto"/>
            </w:tcBorders>
            <w:hideMark/>
          </w:tcPr>
          <w:p w:rsidR="00950F4C" w:rsidRPr="009E1E13" w:rsidRDefault="00950F4C" w:rsidP="00166F1A">
            <w:r w:rsidRPr="009E1E13">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950F4C" w:rsidRPr="009E1E13" w:rsidRDefault="00950F4C" w:rsidP="00166F1A">
            <w:r w:rsidRPr="009E1E13">
              <w:t>Panaudota lėšų</w:t>
            </w:r>
          </w:p>
        </w:tc>
        <w:tc>
          <w:tcPr>
            <w:tcW w:w="1283" w:type="dxa"/>
            <w:tcBorders>
              <w:top w:val="single" w:sz="4" w:space="0" w:color="auto"/>
              <w:left w:val="single" w:sz="4" w:space="0" w:color="auto"/>
              <w:bottom w:val="single" w:sz="4" w:space="0" w:color="auto"/>
              <w:right w:val="single" w:sz="4" w:space="0" w:color="auto"/>
            </w:tcBorders>
            <w:hideMark/>
          </w:tcPr>
          <w:p w:rsidR="00950F4C" w:rsidRPr="009E1E13" w:rsidRDefault="00950F4C" w:rsidP="00166F1A">
            <w:r w:rsidRPr="009E1E13">
              <w:t>Įvykdymas (%)</w:t>
            </w:r>
          </w:p>
        </w:tc>
        <w:tc>
          <w:tcPr>
            <w:tcW w:w="3439" w:type="dxa"/>
            <w:vMerge/>
            <w:tcBorders>
              <w:left w:val="single" w:sz="4" w:space="0" w:color="auto"/>
              <w:bottom w:val="single" w:sz="4" w:space="0" w:color="auto"/>
              <w:right w:val="single" w:sz="4" w:space="0" w:color="auto"/>
            </w:tcBorders>
          </w:tcPr>
          <w:p w:rsidR="00950F4C" w:rsidRPr="009E1E13" w:rsidRDefault="00950F4C" w:rsidP="00166F1A"/>
        </w:tc>
      </w:tr>
      <w:tr w:rsidR="00950F4C" w:rsidRPr="009E1E13" w:rsidTr="00166F1A">
        <w:trPr>
          <w:trHeight w:val="837"/>
        </w:trPr>
        <w:tc>
          <w:tcPr>
            <w:tcW w:w="2301" w:type="dxa"/>
            <w:tcBorders>
              <w:top w:val="single" w:sz="4" w:space="0" w:color="auto"/>
              <w:left w:val="single" w:sz="4" w:space="0" w:color="auto"/>
              <w:right w:val="single" w:sz="4" w:space="0" w:color="auto"/>
            </w:tcBorders>
            <w:hideMark/>
          </w:tcPr>
          <w:p w:rsidR="00950F4C" w:rsidRPr="009E1E13" w:rsidRDefault="00950F4C" w:rsidP="00166F1A">
            <w:r w:rsidRPr="009E1E13">
              <w:t>Savivaldybės biudžetas (SB)</w:t>
            </w:r>
          </w:p>
        </w:tc>
        <w:tc>
          <w:tcPr>
            <w:tcW w:w="1470" w:type="dxa"/>
            <w:tcBorders>
              <w:top w:val="single" w:sz="4" w:space="0" w:color="auto"/>
              <w:left w:val="single" w:sz="4" w:space="0" w:color="auto"/>
              <w:right w:val="single" w:sz="4" w:space="0" w:color="auto"/>
            </w:tcBorders>
          </w:tcPr>
          <w:p w:rsidR="00950F4C" w:rsidRPr="009E1E13" w:rsidRDefault="00950F4C" w:rsidP="00166F1A">
            <w:pPr>
              <w:jc w:val="center"/>
            </w:pPr>
            <w:r w:rsidRPr="009E1E13">
              <w:t>419,3</w:t>
            </w:r>
          </w:p>
        </w:tc>
        <w:tc>
          <w:tcPr>
            <w:tcW w:w="1216" w:type="dxa"/>
            <w:tcBorders>
              <w:top w:val="single" w:sz="4" w:space="0" w:color="auto"/>
              <w:left w:val="single" w:sz="4" w:space="0" w:color="auto"/>
              <w:right w:val="single" w:sz="4" w:space="0" w:color="auto"/>
            </w:tcBorders>
          </w:tcPr>
          <w:p w:rsidR="00950F4C" w:rsidRPr="009E1E13" w:rsidRDefault="00950F4C" w:rsidP="00166F1A">
            <w:pPr>
              <w:jc w:val="center"/>
            </w:pPr>
            <w:r w:rsidRPr="009E1E13">
              <w:t>418,3</w:t>
            </w:r>
          </w:p>
        </w:tc>
        <w:tc>
          <w:tcPr>
            <w:tcW w:w="1283" w:type="dxa"/>
            <w:tcBorders>
              <w:top w:val="single" w:sz="4" w:space="0" w:color="auto"/>
              <w:left w:val="single" w:sz="4" w:space="0" w:color="auto"/>
              <w:right w:val="single" w:sz="4" w:space="0" w:color="auto"/>
            </w:tcBorders>
          </w:tcPr>
          <w:p w:rsidR="00950F4C" w:rsidRPr="009E1E13" w:rsidRDefault="00950F4C" w:rsidP="00166F1A">
            <w:pPr>
              <w:jc w:val="center"/>
            </w:pPr>
            <w:r w:rsidRPr="009E1E13">
              <w:t>99,76</w:t>
            </w:r>
          </w:p>
        </w:tc>
        <w:tc>
          <w:tcPr>
            <w:tcW w:w="3439" w:type="dxa"/>
            <w:tcBorders>
              <w:top w:val="single" w:sz="4" w:space="0" w:color="auto"/>
              <w:left w:val="single" w:sz="4" w:space="0" w:color="auto"/>
              <w:right w:val="single" w:sz="4" w:space="0" w:color="auto"/>
            </w:tcBorders>
          </w:tcPr>
          <w:p w:rsidR="00950F4C" w:rsidRPr="009E1E13" w:rsidRDefault="00950F4C" w:rsidP="00166F1A">
            <w:pPr>
              <w:jc w:val="both"/>
            </w:pPr>
            <w:r w:rsidRPr="009E1E13">
              <w:t>Dėl COVID-19 pandemijos buvo suplanuota daugiau lėšų ligos pašalpoms</w:t>
            </w:r>
          </w:p>
        </w:tc>
      </w:tr>
      <w:tr w:rsidR="00950F4C" w:rsidRPr="009E1E13" w:rsidTr="00166F1A">
        <w:trPr>
          <w:trHeight w:val="837"/>
        </w:trPr>
        <w:tc>
          <w:tcPr>
            <w:tcW w:w="2301" w:type="dxa"/>
            <w:tcBorders>
              <w:top w:val="single" w:sz="4" w:space="0" w:color="auto"/>
              <w:left w:val="single" w:sz="4" w:space="0" w:color="auto"/>
              <w:right w:val="single" w:sz="4" w:space="0" w:color="auto"/>
            </w:tcBorders>
            <w:hideMark/>
          </w:tcPr>
          <w:p w:rsidR="00950F4C" w:rsidRPr="009E1E13" w:rsidRDefault="00950F4C" w:rsidP="00166F1A">
            <w:r w:rsidRPr="009E1E13">
              <w:t>Specialioji tikslinė dotacija (VB)</w:t>
            </w:r>
          </w:p>
        </w:tc>
        <w:tc>
          <w:tcPr>
            <w:tcW w:w="1470" w:type="dxa"/>
            <w:tcBorders>
              <w:top w:val="single" w:sz="4" w:space="0" w:color="auto"/>
              <w:left w:val="single" w:sz="4" w:space="0" w:color="auto"/>
              <w:right w:val="single" w:sz="4" w:space="0" w:color="auto"/>
            </w:tcBorders>
          </w:tcPr>
          <w:p w:rsidR="00950F4C" w:rsidRPr="009E1E13" w:rsidRDefault="00950F4C" w:rsidP="00166F1A">
            <w:pPr>
              <w:jc w:val="center"/>
            </w:pPr>
            <w:r w:rsidRPr="009E1E13">
              <w:t>256,7</w:t>
            </w:r>
          </w:p>
          <w:p w:rsidR="00950F4C" w:rsidRPr="009E1E13" w:rsidRDefault="00950F4C" w:rsidP="00166F1A">
            <w:pPr>
              <w:jc w:val="center"/>
            </w:pPr>
          </w:p>
        </w:tc>
        <w:tc>
          <w:tcPr>
            <w:tcW w:w="1216" w:type="dxa"/>
            <w:tcBorders>
              <w:top w:val="single" w:sz="4" w:space="0" w:color="auto"/>
              <w:left w:val="single" w:sz="4" w:space="0" w:color="auto"/>
              <w:right w:val="single" w:sz="4" w:space="0" w:color="auto"/>
            </w:tcBorders>
          </w:tcPr>
          <w:p w:rsidR="00950F4C" w:rsidRPr="009E1E13" w:rsidRDefault="00950F4C" w:rsidP="00166F1A">
            <w:pPr>
              <w:jc w:val="center"/>
            </w:pPr>
            <w:r w:rsidRPr="009E1E13">
              <w:t>256,7</w:t>
            </w:r>
          </w:p>
          <w:p w:rsidR="00950F4C" w:rsidRPr="009E1E13" w:rsidRDefault="00950F4C" w:rsidP="00166F1A">
            <w:pPr>
              <w:jc w:val="center"/>
            </w:pPr>
          </w:p>
        </w:tc>
        <w:tc>
          <w:tcPr>
            <w:tcW w:w="1283" w:type="dxa"/>
            <w:tcBorders>
              <w:top w:val="single" w:sz="4" w:space="0" w:color="auto"/>
              <w:left w:val="single" w:sz="4" w:space="0" w:color="auto"/>
              <w:right w:val="single" w:sz="4" w:space="0" w:color="auto"/>
            </w:tcBorders>
          </w:tcPr>
          <w:p w:rsidR="00950F4C" w:rsidRPr="009E1E13" w:rsidRDefault="00950F4C" w:rsidP="00166F1A">
            <w:pPr>
              <w:jc w:val="center"/>
            </w:pPr>
            <w:r w:rsidRPr="009E1E13">
              <w:t>100</w:t>
            </w:r>
          </w:p>
          <w:p w:rsidR="00950F4C" w:rsidRPr="009E1E13" w:rsidRDefault="00950F4C" w:rsidP="00166F1A">
            <w:pPr>
              <w:jc w:val="center"/>
            </w:pPr>
          </w:p>
        </w:tc>
        <w:tc>
          <w:tcPr>
            <w:tcW w:w="3439" w:type="dxa"/>
            <w:tcBorders>
              <w:top w:val="single" w:sz="4" w:space="0" w:color="auto"/>
              <w:left w:val="single" w:sz="4" w:space="0" w:color="auto"/>
              <w:right w:val="single" w:sz="4" w:space="0" w:color="auto"/>
            </w:tcBorders>
          </w:tcPr>
          <w:p w:rsidR="00950F4C" w:rsidRPr="009E1E13" w:rsidRDefault="00950F4C" w:rsidP="00166F1A">
            <w:pPr>
              <w:jc w:val="both"/>
            </w:pPr>
          </w:p>
        </w:tc>
      </w:tr>
      <w:tr w:rsidR="00950F4C" w:rsidRPr="009E1E13" w:rsidTr="00166F1A">
        <w:tc>
          <w:tcPr>
            <w:tcW w:w="2301" w:type="dxa"/>
            <w:tcBorders>
              <w:top w:val="single" w:sz="4" w:space="0" w:color="auto"/>
              <w:left w:val="single" w:sz="4" w:space="0" w:color="auto"/>
              <w:bottom w:val="single" w:sz="4" w:space="0" w:color="auto"/>
              <w:right w:val="single" w:sz="4" w:space="0" w:color="auto"/>
            </w:tcBorders>
            <w:hideMark/>
          </w:tcPr>
          <w:p w:rsidR="00950F4C" w:rsidRPr="009E1E13" w:rsidRDefault="00950F4C" w:rsidP="00166F1A">
            <w:r w:rsidRPr="009E1E13">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p>
        </w:tc>
        <w:tc>
          <w:tcPr>
            <w:tcW w:w="1216"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p>
        </w:tc>
        <w:tc>
          <w:tcPr>
            <w:tcW w:w="1283"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p>
        </w:tc>
        <w:tc>
          <w:tcPr>
            <w:tcW w:w="3439"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both"/>
            </w:pPr>
          </w:p>
        </w:tc>
      </w:tr>
      <w:tr w:rsidR="00950F4C" w:rsidRPr="00C6650A" w:rsidTr="00166F1A">
        <w:trPr>
          <w:trHeight w:val="633"/>
        </w:trPr>
        <w:tc>
          <w:tcPr>
            <w:tcW w:w="2301" w:type="dxa"/>
            <w:tcBorders>
              <w:top w:val="single" w:sz="4" w:space="0" w:color="auto"/>
              <w:left w:val="single" w:sz="4" w:space="0" w:color="auto"/>
              <w:right w:val="single" w:sz="4" w:space="0" w:color="auto"/>
            </w:tcBorders>
            <w:hideMark/>
          </w:tcPr>
          <w:p w:rsidR="00950F4C" w:rsidRPr="009E1E13" w:rsidRDefault="00950F4C" w:rsidP="00166F1A">
            <w:r w:rsidRPr="009E1E13">
              <w:t>Pajamų išlaidos (SP)</w:t>
            </w:r>
          </w:p>
        </w:tc>
        <w:tc>
          <w:tcPr>
            <w:tcW w:w="1470" w:type="dxa"/>
            <w:tcBorders>
              <w:top w:val="single" w:sz="4" w:space="0" w:color="auto"/>
              <w:left w:val="single" w:sz="4" w:space="0" w:color="auto"/>
              <w:right w:val="single" w:sz="4" w:space="0" w:color="auto"/>
            </w:tcBorders>
            <w:hideMark/>
          </w:tcPr>
          <w:p w:rsidR="00950F4C" w:rsidRPr="009E1E13" w:rsidRDefault="00950F4C" w:rsidP="00166F1A">
            <w:pPr>
              <w:jc w:val="center"/>
            </w:pPr>
            <w:r w:rsidRPr="009E1E13">
              <w:t>82,5</w:t>
            </w:r>
          </w:p>
        </w:tc>
        <w:tc>
          <w:tcPr>
            <w:tcW w:w="1216" w:type="dxa"/>
            <w:tcBorders>
              <w:top w:val="single" w:sz="4" w:space="0" w:color="auto"/>
              <w:left w:val="single" w:sz="4" w:space="0" w:color="auto"/>
              <w:right w:val="single" w:sz="4" w:space="0" w:color="auto"/>
            </w:tcBorders>
          </w:tcPr>
          <w:p w:rsidR="00950F4C" w:rsidRPr="009E1E13" w:rsidRDefault="00950F4C" w:rsidP="00166F1A">
            <w:pPr>
              <w:jc w:val="center"/>
            </w:pPr>
            <w:r w:rsidRPr="009E1E13">
              <w:t>69,2</w:t>
            </w:r>
          </w:p>
        </w:tc>
        <w:tc>
          <w:tcPr>
            <w:tcW w:w="1283" w:type="dxa"/>
            <w:tcBorders>
              <w:top w:val="single" w:sz="4" w:space="0" w:color="auto"/>
              <w:left w:val="single" w:sz="4" w:space="0" w:color="auto"/>
              <w:right w:val="single" w:sz="4" w:space="0" w:color="auto"/>
            </w:tcBorders>
          </w:tcPr>
          <w:p w:rsidR="00950F4C" w:rsidRPr="009E1E13" w:rsidRDefault="00950F4C" w:rsidP="00166F1A">
            <w:pPr>
              <w:jc w:val="center"/>
            </w:pPr>
            <w:r w:rsidRPr="009E1E13">
              <w:t>83,9</w:t>
            </w:r>
          </w:p>
          <w:p w:rsidR="00950F4C" w:rsidRPr="009E1E13" w:rsidRDefault="00950F4C" w:rsidP="00166F1A">
            <w:pPr>
              <w:jc w:val="center"/>
            </w:pPr>
          </w:p>
        </w:tc>
        <w:tc>
          <w:tcPr>
            <w:tcW w:w="3439" w:type="dxa"/>
            <w:tcBorders>
              <w:top w:val="single" w:sz="4" w:space="0" w:color="auto"/>
              <w:left w:val="single" w:sz="4" w:space="0" w:color="auto"/>
              <w:right w:val="single" w:sz="4" w:space="0" w:color="auto"/>
            </w:tcBorders>
          </w:tcPr>
          <w:p w:rsidR="00950F4C" w:rsidRPr="009E1E13" w:rsidRDefault="00950F4C" w:rsidP="00166F1A">
            <w:pPr>
              <w:jc w:val="both"/>
            </w:pPr>
            <w:r w:rsidRPr="009E1E13">
              <w:t>Dėl COVID-19 pandemijos karantino metu tėvai turėjo teisę nevesti vaikų ir nemokėti atlyginimo už maitinimo paslaugą, todėl planuotos lėšos nesurinktos</w:t>
            </w:r>
          </w:p>
        </w:tc>
      </w:tr>
      <w:tr w:rsidR="00950F4C" w:rsidRPr="009E1E13" w:rsidTr="00166F1A">
        <w:tc>
          <w:tcPr>
            <w:tcW w:w="2301" w:type="dxa"/>
            <w:tcBorders>
              <w:top w:val="single" w:sz="4" w:space="0" w:color="auto"/>
              <w:left w:val="single" w:sz="4" w:space="0" w:color="auto"/>
              <w:bottom w:val="single" w:sz="4" w:space="0" w:color="auto"/>
              <w:right w:val="single" w:sz="4" w:space="0" w:color="auto"/>
            </w:tcBorders>
            <w:hideMark/>
          </w:tcPr>
          <w:p w:rsidR="00950F4C" w:rsidRPr="009E1E13" w:rsidRDefault="00950F4C" w:rsidP="00166F1A">
            <w:r w:rsidRPr="009E1E13">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r w:rsidRPr="009E1E13">
              <w:t>1,1</w:t>
            </w:r>
          </w:p>
        </w:tc>
        <w:tc>
          <w:tcPr>
            <w:tcW w:w="1216"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r w:rsidRPr="009E1E13">
              <w:t>1,1</w:t>
            </w:r>
          </w:p>
        </w:tc>
        <w:tc>
          <w:tcPr>
            <w:tcW w:w="1283"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r w:rsidRPr="009E1E13">
              <w:t>100</w:t>
            </w:r>
          </w:p>
        </w:tc>
        <w:tc>
          <w:tcPr>
            <w:tcW w:w="3439"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both"/>
            </w:pPr>
          </w:p>
        </w:tc>
      </w:tr>
      <w:tr w:rsidR="00950F4C" w:rsidRPr="009E1E13" w:rsidTr="00166F1A">
        <w:trPr>
          <w:trHeight w:val="430"/>
        </w:trPr>
        <w:tc>
          <w:tcPr>
            <w:tcW w:w="2301" w:type="dxa"/>
            <w:tcBorders>
              <w:top w:val="single" w:sz="4" w:space="0" w:color="auto"/>
              <w:left w:val="single" w:sz="4" w:space="0" w:color="auto"/>
              <w:bottom w:val="single" w:sz="4" w:space="0" w:color="auto"/>
              <w:right w:val="single" w:sz="4" w:space="0" w:color="auto"/>
            </w:tcBorders>
            <w:hideMark/>
          </w:tcPr>
          <w:p w:rsidR="00950F4C" w:rsidRPr="009E1E13" w:rsidRDefault="00950F4C" w:rsidP="00166F1A">
            <w:r w:rsidRPr="009E1E13">
              <w:t>Iš viso</w:t>
            </w:r>
          </w:p>
        </w:tc>
        <w:tc>
          <w:tcPr>
            <w:tcW w:w="1470"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r w:rsidRPr="009E1E13">
              <w:t>759,6</w:t>
            </w:r>
          </w:p>
        </w:tc>
        <w:tc>
          <w:tcPr>
            <w:tcW w:w="1216"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r w:rsidRPr="009E1E13">
              <w:t>745,3</w:t>
            </w:r>
          </w:p>
        </w:tc>
        <w:tc>
          <w:tcPr>
            <w:tcW w:w="1283"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p>
        </w:tc>
        <w:tc>
          <w:tcPr>
            <w:tcW w:w="3439"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both"/>
            </w:pPr>
          </w:p>
        </w:tc>
      </w:tr>
      <w:tr w:rsidR="00950F4C" w:rsidRPr="00C6650A" w:rsidTr="00166F1A">
        <w:tc>
          <w:tcPr>
            <w:tcW w:w="4987" w:type="dxa"/>
            <w:gridSpan w:val="3"/>
            <w:tcBorders>
              <w:top w:val="single" w:sz="4" w:space="0" w:color="auto"/>
              <w:left w:val="single" w:sz="4" w:space="0" w:color="auto"/>
              <w:bottom w:val="single" w:sz="4" w:space="0" w:color="auto"/>
              <w:right w:val="single" w:sz="4" w:space="0" w:color="auto"/>
            </w:tcBorders>
          </w:tcPr>
          <w:p w:rsidR="00950F4C" w:rsidRPr="009E1E13" w:rsidRDefault="00950F4C" w:rsidP="00166F1A">
            <w:r w:rsidRPr="009E1E13">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center"/>
            </w:pPr>
            <w:r w:rsidRPr="009E1E13">
              <w:t>0,04</w:t>
            </w:r>
          </w:p>
        </w:tc>
        <w:tc>
          <w:tcPr>
            <w:tcW w:w="3439" w:type="dxa"/>
            <w:tcBorders>
              <w:top w:val="single" w:sz="4" w:space="0" w:color="auto"/>
              <w:left w:val="single" w:sz="4" w:space="0" w:color="auto"/>
              <w:bottom w:val="single" w:sz="4" w:space="0" w:color="auto"/>
              <w:right w:val="single" w:sz="4" w:space="0" w:color="auto"/>
            </w:tcBorders>
          </w:tcPr>
          <w:p w:rsidR="00950F4C" w:rsidRPr="009E1E13" w:rsidRDefault="00950F4C" w:rsidP="00166F1A">
            <w:pPr>
              <w:jc w:val="both"/>
            </w:pPr>
            <w:r w:rsidRPr="009E1E13">
              <w:t>Negauta ryšio paslaugų įsigijimo sąskaitos už 2021 m. gruodžio mėnesį</w:t>
            </w:r>
          </w:p>
        </w:tc>
      </w:tr>
    </w:tbl>
    <w:p w:rsidR="00950F4C" w:rsidRDefault="00950F4C" w:rsidP="00950F4C">
      <w:pPr>
        <w:spacing w:line="256" w:lineRule="auto"/>
        <w:jc w:val="both"/>
        <w:rPr>
          <w:rFonts w:eastAsia="Calibri"/>
        </w:rPr>
      </w:pPr>
      <w:r>
        <w:rPr>
          <w:rFonts w:eastAsia="Calibri"/>
        </w:rPr>
        <w:tab/>
      </w:r>
    </w:p>
    <w:p w:rsidR="00E83DD1" w:rsidRDefault="00950F4C" w:rsidP="00E83DD1">
      <w:pPr>
        <w:ind w:firstLine="709"/>
        <w:jc w:val="both"/>
        <w:rPr>
          <w:rFonts w:eastAsia="Calibri"/>
        </w:rPr>
      </w:pPr>
      <w:r w:rsidRPr="009E1E13">
        <w:rPr>
          <w:rFonts w:eastAsia="Calibri"/>
        </w:rPr>
        <w:t>2021 m. Įstaigos veiklą kontroliuojan</w:t>
      </w:r>
      <w:r>
        <w:rPr>
          <w:rFonts w:eastAsia="Calibri"/>
        </w:rPr>
        <w:t>čios institucijos vykdė 3 patikrinimus</w:t>
      </w:r>
      <w:r w:rsidRPr="009E1E13">
        <w:rPr>
          <w:rFonts w:eastAsia="Calibri"/>
        </w:rPr>
        <w:t>: Valstybinė</w:t>
      </w:r>
      <w:r>
        <w:rPr>
          <w:rFonts w:eastAsia="Calibri"/>
        </w:rPr>
        <w:t>s</w:t>
      </w:r>
      <w:r w:rsidRPr="009E1E13">
        <w:rPr>
          <w:rFonts w:eastAsia="Calibri"/>
        </w:rPr>
        <w:t xml:space="preserve"> maisto ir veterinarijos tarnybos Klaipėdos departamentas (2021-05-11 aktas Nr. 37VMĮP-162), </w:t>
      </w:r>
      <w:r>
        <w:rPr>
          <w:rFonts w:eastAsia="Calibri"/>
        </w:rPr>
        <w:t>Nacionalinis</w:t>
      </w:r>
      <w:r w:rsidRPr="009E1E13">
        <w:rPr>
          <w:rFonts w:eastAsia="Calibri"/>
        </w:rPr>
        <w:t xml:space="preserve"> kontrolės centras „INSPEKTUM“ (2021-11-16 žaidimų aikštelių kontrolės ataskaita Nr. P2298-91168-1-2021), Klaipėdos miesto savivaldybės administracijos Švietimo skyrius (2021-12-16 pažyma Nr. ŠV2-20). Tikrinusios institucijos pažeidimų ar neatitikimų nenustatė.</w:t>
      </w:r>
    </w:p>
    <w:p w:rsidR="00E83DD1" w:rsidRDefault="00950F4C" w:rsidP="00E83DD1">
      <w:pPr>
        <w:ind w:firstLine="709"/>
        <w:jc w:val="both"/>
        <w:rPr>
          <w:rFonts w:eastAsia="Calibri"/>
        </w:rPr>
      </w:pPr>
      <w:r w:rsidRPr="009E1E13">
        <w:rPr>
          <w:rFonts w:eastAsia="Calibri"/>
        </w:rPr>
        <w:t>2021 m. Įstaigoje liko neišspręstos tokios vidaus ir išorės faktorių sąlygotos problemos: didėjant specialiųjų ugdymosi poreikių turinčių vaikų skaičiui</w:t>
      </w:r>
      <w:r>
        <w:rPr>
          <w:rFonts w:eastAsia="Calibri"/>
        </w:rPr>
        <w:t>,</w:t>
      </w:r>
      <w:r w:rsidRPr="009E1E13">
        <w:rPr>
          <w:rFonts w:eastAsia="Calibri"/>
        </w:rPr>
        <w:t xml:space="preserve"> trūksta mokytojo padėjėjų etatų, dėl ilgalaikio nedarbingumo trūksta specialistų (ikimokyk</w:t>
      </w:r>
      <w:r>
        <w:rPr>
          <w:rFonts w:eastAsia="Calibri"/>
        </w:rPr>
        <w:t>l</w:t>
      </w:r>
      <w:r w:rsidRPr="009E1E13">
        <w:rPr>
          <w:rFonts w:eastAsia="Calibri"/>
        </w:rPr>
        <w:t>inio ugdymo mokytojo, logopedo), kiemo, žaidimų aikštelių danga neužtikrina higienos bei saugumo reikalavimų, šiluminiame punkte nė</w:t>
      </w:r>
      <w:r>
        <w:rPr>
          <w:rFonts w:eastAsia="Calibri"/>
        </w:rPr>
        <w:t>ra cirkuliavimo vamzdžio, todėl antrame aukšte dažnai nėra karšto vandens.</w:t>
      </w:r>
    </w:p>
    <w:p w:rsidR="00D57F27" w:rsidRDefault="00950F4C" w:rsidP="00E83DD1">
      <w:pPr>
        <w:ind w:firstLine="709"/>
        <w:jc w:val="both"/>
        <w:rPr>
          <w:rFonts w:eastAsia="Calibri"/>
        </w:rPr>
      </w:pPr>
      <w:bookmarkStart w:id="2" w:name="_GoBack"/>
      <w:bookmarkEnd w:id="2"/>
      <w:r w:rsidRPr="009E1E13">
        <w:rPr>
          <w:rFonts w:eastAsia="Calibri"/>
        </w:rPr>
        <w:t>Planuodama 2022 m</w:t>
      </w:r>
      <w:r>
        <w:rPr>
          <w:rFonts w:eastAsia="Calibri"/>
        </w:rPr>
        <w:t xml:space="preserve">. veiklą, Įstaigos bendruomenė numatė šią prioritetinę veiklos kryptį – </w:t>
      </w:r>
      <w:r w:rsidRPr="009E1E13">
        <w:rPr>
          <w:rFonts w:eastAsia="Calibri"/>
        </w:rPr>
        <w:t>mokyklos bend</w:t>
      </w:r>
      <w:r>
        <w:rPr>
          <w:rFonts w:eastAsia="Calibri"/>
        </w:rPr>
        <w:t>ruomenės kompetencijų tobulinimas</w:t>
      </w:r>
      <w:r w:rsidRPr="009E1E13">
        <w:rPr>
          <w:rFonts w:eastAsia="Calibri"/>
        </w:rPr>
        <w:t>,</w:t>
      </w:r>
      <w:r>
        <w:rPr>
          <w:rFonts w:eastAsia="Calibri"/>
        </w:rPr>
        <w:t xml:space="preserve"> įgyvendinant skirtingų ugdymo(si) poreikių vaikų asmeninės pažangos siekius.</w:t>
      </w:r>
    </w:p>
    <w:p w:rsidR="00950F4C" w:rsidRDefault="00950F4C" w:rsidP="00950F4C">
      <w:pPr>
        <w:jc w:val="both"/>
        <w:rPr>
          <w:rFonts w:eastAsia="Calibri"/>
        </w:rPr>
      </w:pPr>
    </w:p>
    <w:p w:rsidR="00950F4C" w:rsidRDefault="00950F4C" w:rsidP="00950F4C">
      <w:pPr>
        <w:jc w:val="both"/>
        <w:rPr>
          <w:rFonts w:eastAsia="Calibri"/>
        </w:rPr>
      </w:pPr>
    </w:p>
    <w:p w:rsidR="00950F4C" w:rsidRPr="00832CC9" w:rsidRDefault="00950F4C" w:rsidP="00950F4C">
      <w:pPr>
        <w:jc w:val="both"/>
      </w:pPr>
      <w:r>
        <w:rPr>
          <w:rFonts w:eastAsia="Calibri"/>
        </w:rPr>
        <w:t>Direktorė</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 xml:space="preserve">          Rima Savva</w:t>
      </w:r>
    </w:p>
    <w:sectPr w:rsidR="00950F4C"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83DD1">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16DF4"/>
    <w:rsid w:val="0019615E"/>
    <w:rsid w:val="0034183E"/>
    <w:rsid w:val="004476DD"/>
    <w:rsid w:val="00597EE8"/>
    <w:rsid w:val="005B434A"/>
    <w:rsid w:val="005F495C"/>
    <w:rsid w:val="006244B5"/>
    <w:rsid w:val="00832CC9"/>
    <w:rsid w:val="008354D5"/>
    <w:rsid w:val="008E6E82"/>
    <w:rsid w:val="00950F4C"/>
    <w:rsid w:val="009B4641"/>
    <w:rsid w:val="00AF7D08"/>
    <w:rsid w:val="00B750B6"/>
    <w:rsid w:val="00C57681"/>
    <w:rsid w:val="00CA4D3B"/>
    <w:rsid w:val="00D42B72"/>
    <w:rsid w:val="00D57F27"/>
    <w:rsid w:val="00E33871"/>
    <w:rsid w:val="00E56A73"/>
    <w:rsid w:val="00E83DD1"/>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14158"/>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6606</Words>
  <Characters>3766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5</cp:revision>
  <dcterms:created xsi:type="dcterms:W3CDTF">2022-02-24T06:01:00Z</dcterms:created>
  <dcterms:modified xsi:type="dcterms:W3CDTF">2022-03-01T11:05:00Z</dcterms:modified>
</cp:coreProperties>
</file>